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b w:val="1"/>
          <w:i w:val="0"/>
          <w:caps w:val="0"/>
          <w:color w:val="2B3346"/>
          <w:spacing w:val="0"/>
          <w:sz w:val="20"/>
        </w:rPr>
        <w:t>Прокуратура г. Электростали разъясняет: «</w:t>
      </w:r>
      <w:r>
        <w:rPr>
          <w:rFonts w:ascii="Arial" w:hAnsi="Arial"/>
          <w:b w:val="1"/>
          <w:i w:val="0"/>
          <w:caps w:val="0"/>
          <w:color w:val="2B3346"/>
          <w:spacing w:val="0"/>
          <w:sz w:val="19"/>
        </w:rPr>
        <w:t>Право на социальную пенсию предоставлено детям, рожденным по истечении 300 дней со дня смерти отца».</w:t>
      </w:r>
    </w:p>
    <w:p w14:paraId="02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Федеральный закон от 28.11.2025 № 449-ФЗ «О внесении изменений в Федеральный закон «О государственном пенсионном обеспечении в Российской Федерации».</w:t>
      </w:r>
    </w:p>
    <w:p w14:paraId="03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Право на социальную пенсию предоставлено детям, рожденным по истечении 300 дней со дня смерти отца. Для реализации права на указанную пенсию должны соблюдаться следующие условия: рождение ребенка по истечении трехсот дней со дня смерти лица, которое являлось супругом их матери; данное лицо выразило при жизни намерение иметь детей; отцовство установлено в судебном порядке. Право на пенсию у таких детей возникает с даты рождения. Также скорректированы размеры социальных пенсий нетрудоспособных граждан.</w:t>
      </w:r>
    </w:p>
    <w:p w14:paraId="04000000">
      <w:pPr>
        <w:pStyle w:val="Style_1"/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Вступил в силу 28 ноября 2025 года.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2026-03-23T12:44:53Z</dcterms:created>
  <dcterms:modified xsi:type="dcterms:W3CDTF">2026-03-23T12:44:53Z</dcterms:modified>
</cp:coreProperties>
</file>